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72114" w:rsidRDefault="00F92268" w:rsidP="00850792">
      <w:pPr>
        <w:pStyle w:val="BodyText"/>
        <w:rPr>
          <w:sz w:val="6"/>
          <w:szCs w:val="6"/>
        </w:rPr>
      </w:pPr>
      <w:r w:rsidRPr="0087211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7211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72114" w:rsidRDefault="00F92268" w:rsidP="00F246C7">
            <w:pPr>
              <w:pStyle w:val="RefTableData"/>
            </w:pPr>
            <w:r w:rsidRPr="00872114">
              <w:t>Reference number(s)</w:t>
            </w:r>
          </w:p>
        </w:tc>
      </w:tr>
      <w:tr w:rsidR="00F92268" w:rsidRPr="0087211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6B79E82" w:rsidR="00F92268" w:rsidRPr="00872114" w:rsidRDefault="002239F5" w:rsidP="00F246C7">
            <w:pPr>
              <w:pStyle w:val="RefTableHeader"/>
            </w:pPr>
            <w:r w:rsidRPr="00872114">
              <w:t>4705-A</w:t>
            </w:r>
          </w:p>
        </w:tc>
      </w:tr>
    </w:tbl>
    <w:p w14:paraId="74FBA5B4" w14:textId="77777777" w:rsidR="00051356" w:rsidRPr="00872114" w:rsidRDefault="00051356" w:rsidP="00A672B3">
      <w:pPr>
        <w:pStyle w:val="BodyText"/>
        <w:rPr>
          <w:b/>
          <w:bCs/>
          <w:sz w:val="16"/>
          <w:szCs w:val="16"/>
        </w:rPr>
        <w:sectPr w:rsidR="00051356" w:rsidRPr="00872114"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F499773" w:rsidR="004B15BB" w:rsidRPr="00872114" w:rsidRDefault="0044040B" w:rsidP="007E5C16">
      <w:pPr>
        <w:pStyle w:val="Heading1"/>
      </w:pPr>
      <w:r w:rsidRPr="00872114">
        <w:t>Specialty Guideline Management</w:t>
      </w:r>
      <w:r w:rsidRPr="00872114">
        <w:br/>
      </w:r>
      <w:proofErr w:type="spellStart"/>
      <w:r w:rsidRPr="00872114">
        <w:t>Jemperli</w:t>
      </w:r>
      <w:proofErr w:type="spellEnd"/>
    </w:p>
    <w:p w14:paraId="78861C92" w14:textId="45441D93" w:rsidR="00203468" w:rsidRDefault="00C64534" w:rsidP="008E0F0D">
      <w:pPr>
        <w:pStyle w:val="Heading2"/>
      </w:pPr>
      <w:r w:rsidRPr="00872114">
        <w:t xml:space="preserve">Products Referenced by this </w:t>
      </w:r>
      <w:r w:rsidR="00501602" w:rsidRPr="00872114">
        <w:t>Document</w:t>
      </w:r>
    </w:p>
    <w:p w14:paraId="73D40340" w14:textId="77777777" w:rsidR="002632CB" w:rsidRPr="002632CB" w:rsidRDefault="002632CB" w:rsidP="002632CB">
      <w:pPr>
        <w:pStyle w:val="BodyText"/>
      </w:pPr>
      <w:r w:rsidRPr="002632CB">
        <w:t>Drugs that are listed in the following table include both brand and generic and all dosage forms and strengths unless otherwise stated. Over-the-counter (OTC)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872114" w14:paraId="057AAA89" w14:textId="77777777">
        <w:trPr>
          <w:cantSplit/>
          <w:trHeight w:val="288"/>
          <w:tblHeader/>
        </w:trPr>
        <w:tc>
          <w:tcPr>
            <w:tcW w:w="5265" w:type="dxa"/>
            <w:vAlign w:val="center"/>
          </w:tcPr>
          <w:p w14:paraId="6CBFE1BD" w14:textId="77777777" w:rsidR="005B4D7C" w:rsidRPr="00872114" w:rsidRDefault="005B4D7C">
            <w:pPr>
              <w:pStyle w:val="TableHeader"/>
            </w:pPr>
            <w:r w:rsidRPr="00872114">
              <w:t>Brand Name</w:t>
            </w:r>
          </w:p>
        </w:tc>
        <w:tc>
          <w:tcPr>
            <w:tcW w:w="5595" w:type="dxa"/>
            <w:vAlign w:val="center"/>
          </w:tcPr>
          <w:p w14:paraId="18440B85" w14:textId="77777777" w:rsidR="005B4D7C" w:rsidRPr="00872114" w:rsidRDefault="005B4D7C">
            <w:pPr>
              <w:pStyle w:val="TableHeader"/>
            </w:pPr>
            <w:r w:rsidRPr="00872114">
              <w:t>Generic Name</w:t>
            </w:r>
          </w:p>
        </w:tc>
      </w:tr>
      <w:tr w:rsidR="005B4D7C" w:rsidRPr="00872114" w14:paraId="7742B1EC" w14:textId="77777777">
        <w:trPr>
          <w:cantSplit/>
        </w:trPr>
        <w:tc>
          <w:tcPr>
            <w:tcW w:w="5265" w:type="dxa"/>
          </w:tcPr>
          <w:p w14:paraId="4DED0C9B" w14:textId="6D6FFFC0" w:rsidR="005B4D7C" w:rsidRPr="00872114" w:rsidRDefault="00074CCD">
            <w:pPr>
              <w:pStyle w:val="TableDataUnpadded"/>
            </w:pPr>
            <w:proofErr w:type="spellStart"/>
            <w:r w:rsidRPr="00872114">
              <w:t>Jemperli</w:t>
            </w:r>
            <w:proofErr w:type="spellEnd"/>
          </w:p>
        </w:tc>
        <w:tc>
          <w:tcPr>
            <w:tcW w:w="5595" w:type="dxa"/>
          </w:tcPr>
          <w:p w14:paraId="1A09710D" w14:textId="7DCAA943" w:rsidR="005B4D7C" w:rsidRPr="00872114" w:rsidRDefault="00074CCD">
            <w:pPr>
              <w:pStyle w:val="TableDataUnpadded"/>
            </w:pPr>
            <w:proofErr w:type="spellStart"/>
            <w:r w:rsidRPr="00872114">
              <w:t>dostarlimab-gxly</w:t>
            </w:r>
            <w:proofErr w:type="spellEnd"/>
          </w:p>
        </w:tc>
      </w:tr>
    </w:tbl>
    <w:p w14:paraId="14CE6108" w14:textId="612F618C" w:rsidR="00FC1AAD" w:rsidRPr="00872114" w:rsidRDefault="00ED052F" w:rsidP="00AA2A94">
      <w:pPr>
        <w:pStyle w:val="Heading2"/>
        <w:tabs>
          <w:tab w:val="left" w:pos="9540"/>
        </w:tabs>
      </w:pPr>
      <w:r w:rsidRPr="00872114">
        <w:t>Indications</w:t>
      </w:r>
    </w:p>
    <w:p w14:paraId="679C067C" w14:textId="52C47ABA" w:rsidR="00074CCD" w:rsidRPr="00872114" w:rsidRDefault="00074CCD" w:rsidP="00074CCD">
      <w:pPr>
        <w:pStyle w:val="BodyText"/>
      </w:pPr>
      <w:r w:rsidRPr="00872114">
        <w:t>The indications below including FDA-approved indications and compendial uses are considered a covered benefit provided that all the approval criteria are met and the member has no exclusions to the prescribed therapy.</w:t>
      </w:r>
    </w:p>
    <w:p w14:paraId="134B5687" w14:textId="71BE2D32" w:rsidR="00ED052F" w:rsidRPr="00872114" w:rsidRDefault="00074CCD" w:rsidP="00ED052F">
      <w:pPr>
        <w:pStyle w:val="Heading3"/>
        <w:keepNext w:val="0"/>
      </w:pPr>
      <w:r w:rsidRPr="00872114">
        <w:t>FDA-</w:t>
      </w:r>
      <w:r w:rsidR="002632CB">
        <w:t>a</w:t>
      </w:r>
      <w:r w:rsidRPr="00872114">
        <w:t>pproved Indications</w:t>
      </w:r>
      <w:r w:rsidRPr="00872114">
        <w:rPr>
          <w:vertAlign w:val="superscript"/>
        </w:rPr>
        <w:t>1</w:t>
      </w:r>
    </w:p>
    <w:p w14:paraId="3338D7C1" w14:textId="55DE93BE" w:rsidR="00AA3266" w:rsidRPr="00872114" w:rsidRDefault="00AA3266" w:rsidP="00D9342A">
      <w:pPr>
        <w:pStyle w:val="ListParagraph"/>
      </w:pPr>
      <w:proofErr w:type="spellStart"/>
      <w:r w:rsidRPr="00872114">
        <w:t>Jemperli</w:t>
      </w:r>
      <w:proofErr w:type="spellEnd"/>
      <w:r w:rsidRPr="00872114">
        <w:t xml:space="preserve"> is indicated in combination with carboplatin and paclitaxel, followed by </w:t>
      </w:r>
      <w:proofErr w:type="spellStart"/>
      <w:r w:rsidRPr="00872114">
        <w:t>Jemperli</w:t>
      </w:r>
      <w:proofErr w:type="spellEnd"/>
      <w:r w:rsidRPr="00872114">
        <w:t xml:space="preserve"> as a single agent for the treatment of adult patients with primary advanced or recurrent endometrial cancer </w:t>
      </w:r>
      <w:r w:rsidR="00714E6D">
        <w:t>(EC)</w:t>
      </w:r>
      <w:r w:rsidRPr="00872114">
        <w:t>.</w:t>
      </w:r>
    </w:p>
    <w:p w14:paraId="26B9DE7B" w14:textId="0E0752B7" w:rsidR="00AA3266" w:rsidRPr="00872114" w:rsidRDefault="00AA3266" w:rsidP="00D9342A">
      <w:pPr>
        <w:pStyle w:val="ListParagraph"/>
      </w:pPr>
      <w:bookmarkStart w:id="0" w:name="OLE_LINK34"/>
      <w:proofErr w:type="spellStart"/>
      <w:r w:rsidRPr="00872114">
        <w:t>Jemperli</w:t>
      </w:r>
      <w:proofErr w:type="spellEnd"/>
      <w:r w:rsidRPr="00872114">
        <w:t xml:space="preserve"> is indicated as a single agent for the treatment of adult patients with </w:t>
      </w:r>
      <w:r w:rsidR="00714E6D">
        <w:t>mismatch repair deficient (</w:t>
      </w:r>
      <w:proofErr w:type="spellStart"/>
      <w:r w:rsidRPr="00872114">
        <w:t>dMMR</w:t>
      </w:r>
      <w:proofErr w:type="spellEnd"/>
      <w:r w:rsidR="00714E6D">
        <w:t>)</w:t>
      </w:r>
      <w:r w:rsidRPr="00872114">
        <w:t xml:space="preserve"> recurrent or advanced </w:t>
      </w:r>
      <w:bookmarkEnd w:id="0"/>
      <w:r w:rsidRPr="00872114">
        <w:t>endometrial cancer (EC), as determined by an FDA-approved test, that has progressed on or following prior treatment with a platinum-containing regimen in any setting and are not candidates for curative surgery or radiation.</w:t>
      </w:r>
    </w:p>
    <w:p w14:paraId="4398E695" w14:textId="26D70EAF" w:rsidR="00AA3266" w:rsidRPr="00872114" w:rsidRDefault="00AA3266" w:rsidP="00D9342A">
      <w:pPr>
        <w:pStyle w:val="ListParagraph"/>
      </w:pPr>
      <w:bookmarkStart w:id="1" w:name="OLE_LINK35"/>
      <w:proofErr w:type="spellStart"/>
      <w:r w:rsidRPr="00872114">
        <w:t>Jemperli</w:t>
      </w:r>
      <w:proofErr w:type="spellEnd"/>
      <w:r w:rsidRPr="00872114">
        <w:t xml:space="preserve"> is indicated </w:t>
      </w:r>
      <w:r w:rsidR="00714E6D">
        <w:t xml:space="preserve">as a single agent </w:t>
      </w:r>
      <w:r w:rsidRPr="00872114">
        <w:t>for the treatment of adult patients with mismatch repair deficient (</w:t>
      </w:r>
      <w:proofErr w:type="spellStart"/>
      <w:r w:rsidRPr="00872114">
        <w:t>dMMR</w:t>
      </w:r>
      <w:proofErr w:type="spellEnd"/>
      <w:r w:rsidRPr="00872114">
        <w:t xml:space="preserve">) recurrent or advanced </w:t>
      </w:r>
      <w:bookmarkEnd w:id="1"/>
      <w:r w:rsidRPr="00872114">
        <w:t>solid tumors, as determined by an FDA-approved test, that have progressed on or following prior treatment and who have no satisfactory alternative treatment options.</w:t>
      </w:r>
    </w:p>
    <w:p w14:paraId="3BD2E9AD" w14:textId="227E6D98" w:rsidR="00AA3266" w:rsidRPr="00872114" w:rsidRDefault="00AA3266" w:rsidP="00D9342A">
      <w:pPr>
        <w:pStyle w:val="Heading3"/>
      </w:pPr>
      <w:r w:rsidRPr="00872114">
        <w:lastRenderedPageBreak/>
        <w:t>Compendial Uses</w:t>
      </w:r>
      <w:r w:rsidRPr="00872114">
        <w:rPr>
          <w:vertAlign w:val="superscript"/>
        </w:rPr>
        <w:t>2</w:t>
      </w:r>
    </w:p>
    <w:p w14:paraId="255B5EBA" w14:textId="77777777" w:rsidR="00AA3266" w:rsidRPr="00872114" w:rsidRDefault="00AA3266" w:rsidP="00D9342A">
      <w:pPr>
        <w:pStyle w:val="ListParagraph"/>
        <w:numPr>
          <w:ilvl w:val="0"/>
          <w:numId w:val="39"/>
        </w:numPr>
      </w:pPr>
      <w:r w:rsidRPr="00872114">
        <w:t>Breast cancer</w:t>
      </w:r>
    </w:p>
    <w:p w14:paraId="3D4DC6FC" w14:textId="77777777" w:rsidR="00AA3266" w:rsidRPr="00872114" w:rsidRDefault="00AA3266" w:rsidP="00D9342A">
      <w:pPr>
        <w:pStyle w:val="ListParagraph"/>
        <w:numPr>
          <w:ilvl w:val="0"/>
          <w:numId w:val="39"/>
        </w:numPr>
      </w:pPr>
      <w:r w:rsidRPr="00872114">
        <w:t>Colorectal cancer</w:t>
      </w:r>
    </w:p>
    <w:p w14:paraId="6BD77AF9" w14:textId="77777777" w:rsidR="00AA3266" w:rsidRPr="00872114" w:rsidRDefault="00AA3266" w:rsidP="00D9342A">
      <w:pPr>
        <w:pStyle w:val="ListParagraph"/>
        <w:numPr>
          <w:ilvl w:val="0"/>
          <w:numId w:val="39"/>
        </w:numPr>
      </w:pPr>
      <w:r w:rsidRPr="00872114">
        <w:t>Esophageal and esophagogastric junction cancers</w:t>
      </w:r>
    </w:p>
    <w:p w14:paraId="4495A2F6" w14:textId="77777777" w:rsidR="00AA3266" w:rsidRPr="00872114" w:rsidRDefault="00AA3266" w:rsidP="00D9342A">
      <w:pPr>
        <w:pStyle w:val="ListParagraph"/>
        <w:numPr>
          <w:ilvl w:val="0"/>
          <w:numId w:val="39"/>
        </w:numPr>
      </w:pPr>
      <w:r w:rsidRPr="00872114">
        <w:t>Gastric cancer</w:t>
      </w:r>
    </w:p>
    <w:p w14:paraId="3B997EA0" w14:textId="673F21C7" w:rsidR="00AA3266" w:rsidRPr="00872114" w:rsidRDefault="00AA3266" w:rsidP="00D9342A">
      <w:pPr>
        <w:pStyle w:val="ListParagraph"/>
        <w:numPr>
          <w:ilvl w:val="0"/>
          <w:numId w:val="39"/>
        </w:numPr>
      </w:pPr>
      <w:r w:rsidRPr="00872114">
        <w:t>Occult primary cancer</w:t>
      </w:r>
    </w:p>
    <w:p w14:paraId="0A9B9001" w14:textId="77777777" w:rsidR="00AA3266" w:rsidRPr="00872114" w:rsidRDefault="00AA3266" w:rsidP="00D9342A">
      <w:pPr>
        <w:pStyle w:val="ListParagraph"/>
        <w:numPr>
          <w:ilvl w:val="0"/>
          <w:numId w:val="39"/>
        </w:numPr>
      </w:pPr>
      <w:r w:rsidRPr="00872114">
        <w:t>Ovarian cancer</w:t>
      </w:r>
    </w:p>
    <w:p w14:paraId="0CF01B9B" w14:textId="77777777" w:rsidR="00AA3266" w:rsidRPr="00872114" w:rsidRDefault="00AA3266" w:rsidP="00D9342A">
      <w:pPr>
        <w:pStyle w:val="ListParagraph"/>
        <w:numPr>
          <w:ilvl w:val="1"/>
          <w:numId w:val="39"/>
        </w:numPr>
      </w:pPr>
      <w:r w:rsidRPr="00872114">
        <w:t>Epithelial ovarian cancer</w:t>
      </w:r>
    </w:p>
    <w:p w14:paraId="725FC759" w14:textId="77777777" w:rsidR="00AA3266" w:rsidRPr="00872114" w:rsidRDefault="00AA3266" w:rsidP="00D9342A">
      <w:pPr>
        <w:pStyle w:val="ListParagraph"/>
        <w:numPr>
          <w:ilvl w:val="1"/>
          <w:numId w:val="39"/>
        </w:numPr>
      </w:pPr>
      <w:r w:rsidRPr="00872114">
        <w:t>Fallopian tube cancer</w:t>
      </w:r>
    </w:p>
    <w:p w14:paraId="5F6F8A74" w14:textId="77777777" w:rsidR="00AA3266" w:rsidRPr="00872114" w:rsidRDefault="00AA3266" w:rsidP="00D9342A">
      <w:pPr>
        <w:pStyle w:val="ListParagraph"/>
        <w:numPr>
          <w:ilvl w:val="1"/>
          <w:numId w:val="39"/>
        </w:numPr>
      </w:pPr>
      <w:r w:rsidRPr="00872114">
        <w:t>Primary peritoneal cancer</w:t>
      </w:r>
    </w:p>
    <w:p w14:paraId="551F7E59" w14:textId="77777777" w:rsidR="00AA3266" w:rsidRPr="00872114" w:rsidRDefault="00AA3266" w:rsidP="00D9342A">
      <w:pPr>
        <w:pStyle w:val="ListParagraph"/>
        <w:numPr>
          <w:ilvl w:val="1"/>
          <w:numId w:val="39"/>
        </w:numPr>
      </w:pPr>
      <w:r w:rsidRPr="00872114">
        <w:t>Carcinosarcoma (malignant mixed Mullerian tumors)</w:t>
      </w:r>
    </w:p>
    <w:p w14:paraId="343EFFFD" w14:textId="77777777" w:rsidR="00AA3266" w:rsidRPr="00872114" w:rsidRDefault="00AA3266" w:rsidP="00D9342A">
      <w:pPr>
        <w:pStyle w:val="ListParagraph"/>
        <w:numPr>
          <w:ilvl w:val="1"/>
          <w:numId w:val="39"/>
        </w:numPr>
      </w:pPr>
      <w:r w:rsidRPr="00872114">
        <w:t>Clear cell carcinoma of the ovary</w:t>
      </w:r>
    </w:p>
    <w:p w14:paraId="6FEF56B6" w14:textId="77777777" w:rsidR="00AA3266" w:rsidRPr="00872114" w:rsidRDefault="00AA3266" w:rsidP="00D9342A">
      <w:pPr>
        <w:pStyle w:val="ListParagraph"/>
        <w:numPr>
          <w:ilvl w:val="1"/>
          <w:numId w:val="39"/>
        </w:numPr>
      </w:pPr>
      <w:r w:rsidRPr="00872114">
        <w:t>Mucinous carcinoma of the ovary</w:t>
      </w:r>
    </w:p>
    <w:p w14:paraId="4BDE8119" w14:textId="77777777" w:rsidR="00AA3266" w:rsidRPr="00872114" w:rsidRDefault="00AA3266" w:rsidP="00D9342A">
      <w:pPr>
        <w:pStyle w:val="ListParagraph"/>
        <w:numPr>
          <w:ilvl w:val="1"/>
          <w:numId w:val="39"/>
        </w:numPr>
      </w:pPr>
      <w:r w:rsidRPr="00872114">
        <w:t>Grade 1 endometrioid carcinoma</w:t>
      </w:r>
    </w:p>
    <w:p w14:paraId="320B7506" w14:textId="77777777" w:rsidR="00AA3266" w:rsidRPr="00872114" w:rsidRDefault="00AA3266" w:rsidP="00D9342A">
      <w:pPr>
        <w:pStyle w:val="ListParagraph"/>
        <w:numPr>
          <w:ilvl w:val="1"/>
          <w:numId w:val="39"/>
        </w:numPr>
      </w:pPr>
      <w:r w:rsidRPr="00872114">
        <w:t xml:space="preserve">Low-grade serous carcinoma/ovarian borderline epithelial tumors </w:t>
      </w:r>
    </w:p>
    <w:p w14:paraId="7C9531F4" w14:textId="77777777" w:rsidR="00AA3266" w:rsidRPr="00872114" w:rsidRDefault="00AA3266" w:rsidP="00D9342A">
      <w:pPr>
        <w:pStyle w:val="ListParagraph"/>
        <w:numPr>
          <w:ilvl w:val="0"/>
          <w:numId w:val="39"/>
        </w:numPr>
      </w:pPr>
      <w:r w:rsidRPr="00872114">
        <w:t>Endometrial carcinoma</w:t>
      </w:r>
    </w:p>
    <w:p w14:paraId="02AA687D" w14:textId="77777777" w:rsidR="00AA3266" w:rsidRPr="00872114" w:rsidRDefault="00AA3266" w:rsidP="00D9342A">
      <w:pPr>
        <w:pStyle w:val="ListParagraph"/>
        <w:numPr>
          <w:ilvl w:val="0"/>
          <w:numId w:val="39"/>
        </w:numPr>
      </w:pPr>
      <w:r w:rsidRPr="00872114">
        <w:t>Small bowel adenocarcinoma</w:t>
      </w:r>
    </w:p>
    <w:p w14:paraId="5E7726DA" w14:textId="77777777" w:rsidR="00AA3266" w:rsidRPr="00872114" w:rsidRDefault="00AA3266" w:rsidP="00D9342A">
      <w:pPr>
        <w:pStyle w:val="ListParagraph"/>
        <w:numPr>
          <w:ilvl w:val="0"/>
          <w:numId w:val="39"/>
        </w:numPr>
      </w:pPr>
      <w:r w:rsidRPr="00872114">
        <w:t>Ampullary adenocarcinoma</w:t>
      </w:r>
    </w:p>
    <w:p w14:paraId="1C1A4FD1" w14:textId="77777777" w:rsidR="00AA3266" w:rsidRPr="00872114" w:rsidRDefault="00AA3266" w:rsidP="00D9342A">
      <w:pPr>
        <w:pStyle w:val="ListParagraph"/>
        <w:numPr>
          <w:ilvl w:val="0"/>
          <w:numId w:val="39"/>
        </w:numPr>
      </w:pPr>
      <w:r w:rsidRPr="00872114">
        <w:t>Pancreatic adenocarcinoma</w:t>
      </w:r>
    </w:p>
    <w:p w14:paraId="742312F0" w14:textId="77777777" w:rsidR="00AA3266" w:rsidRPr="00872114" w:rsidRDefault="00AA3266" w:rsidP="005352B4">
      <w:pPr>
        <w:pStyle w:val="BodyText"/>
      </w:pPr>
      <w:r w:rsidRPr="00872114">
        <w:t>All other indications are considered experimental/investigational and not medically necessary.</w:t>
      </w:r>
    </w:p>
    <w:p w14:paraId="3E5AB96E" w14:textId="7BFFCD05" w:rsidR="00AA3266" w:rsidRPr="00872114" w:rsidRDefault="005352B4" w:rsidP="005352B4">
      <w:pPr>
        <w:pStyle w:val="Heading2"/>
      </w:pPr>
      <w:r w:rsidRPr="00872114">
        <w:t>Documentation</w:t>
      </w:r>
    </w:p>
    <w:p w14:paraId="398879A5" w14:textId="77777777" w:rsidR="00AA3266" w:rsidRPr="00872114" w:rsidRDefault="00AA3266" w:rsidP="005352B4">
      <w:pPr>
        <w:pStyle w:val="BodyText"/>
      </w:pPr>
      <w:r w:rsidRPr="00872114">
        <w:t>Submission of the following information is necessary to initiate the prior authorization review:</w:t>
      </w:r>
    </w:p>
    <w:p w14:paraId="43AF7539" w14:textId="664FB2D0" w:rsidR="00AA3266" w:rsidRPr="00872114" w:rsidRDefault="00AA3266" w:rsidP="005352B4">
      <w:pPr>
        <w:pStyle w:val="BodyText"/>
      </w:pPr>
      <w:r w:rsidRPr="00872114">
        <w:t>Documentation of laboratory report confirming microsatellite instability-high (MSI-H)</w:t>
      </w:r>
      <w:r w:rsidR="00714E6D">
        <w:t>,</w:t>
      </w:r>
      <w:r w:rsidRPr="00872114">
        <w:t xml:space="preserve">  mismatch repair deficient (</w:t>
      </w:r>
      <w:proofErr w:type="spellStart"/>
      <w:r w:rsidRPr="00872114">
        <w:t>dMMR</w:t>
      </w:r>
      <w:proofErr w:type="spellEnd"/>
      <w:r w:rsidRPr="00872114">
        <w:t>)</w:t>
      </w:r>
      <w:r w:rsidR="00714E6D">
        <w:t xml:space="preserve">, </w:t>
      </w:r>
      <w:r w:rsidR="00714E6D" w:rsidRPr="00714E6D">
        <w:t>or polymerase epsilon/delta (POLE/POLD1)</w:t>
      </w:r>
      <w:r w:rsidRPr="00872114">
        <w:t xml:space="preserve"> tumor status, where applicable.</w:t>
      </w:r>
    </w:p>
    <w:p w14:paraId="1A10A472" w14:textId="1F693114" w:rsidR="00AA3266" w:rsidRPr="00872114" w:rsidRDefault="005352B4" w:rsidP="005352B4">
      <w:pPr>
        <w:pStyle w:val="Heading2"/>
      </w:pPr>
      <w:r w:rsidRPr="00872114">
        <w:t>Exclusions</w:t>
      </w:r>
    </w:p>
    <w:p w14:paraId="0B816296" w14:textId="77777777" w:rsidR="00AA3266" w:rsidRPr="00872114" w:rsidRDefault="00AA3266" w:rsidP="002632CB">
      <w:pPr>
        <w:pStyle w:val="BodyText"/>
        <w:spacing w:after="0"/>
      </w:pPr>
      <w:r w:rsidRPr="00872114">
        <w:t>Coverage will not be provided for members who have experienced disease progression while on PD-1 or PD-L1 inhibitor therapy.</w:t>
      </w:r>
    </w:p>
    <w:p w14:paraId="5EFE3F94" w14:textId="69F416C9" w:rsidR="00AA3266" w:rsidRPr="00872114" w:rsidRDefault="005352B4" w:rsidP="002632CB">
      <w:pPr>
        <w:pStyle w:val="Heading2"/>
        <w:keepNext w:val="0"/>
        <w:widowControl w:val="0"/>
      </w:pPr>
      <w:r w:rsidRPr="00872114">
        <w:t>Coverage Criteria</w:t>
      </w:r>
    </w:p>
    <w:p w14:paraId="5AD9FB8A" w14:textId="2AA81A25" w:rsidR="00AA3266" w:rsidRPr="00872114" w:rsidRDefault="00AA3266" w:rsidP="002632CB">
      <w:pPr>
        <w:pStyle w:val="Heading3"/>
        <w:keepNext w:val="0"/>
        <w:keepLines w:val="0"/>
        <w:widowControl w:val="0"/>
      </w:pPr>
      <w:r w:rsidRPr="00872114">
        <w:t>Endometrial Carcinoma</w:t>
      </w:r>
      <w:r w:rsidRPr="00872114">
        <w:rPr>
          <w:vertAlign w:val="superscript"/>
        </w:rPr>
        <w:t>1,2</w:t>
      </w:r>
    </w:p>
    <w:p w14:paraId="7793B0C0" w14:textId="77777777" w:rsidR="00AA3266" w:rsidRPr="00872114" w:rsidRDefault="00AA3266" w:rsidP="005352B4">
      <w:pPr>
        <w:pStyle w:val="ListParagraph"/>
        <w:numPr>
          <w:ilvl w:val="0"/>
          <w:numId w:val="40"/>
        </w:numPr>
      </w:pPr>
      <w:r w:rsidRPr="00872114">
        <w:lastRenderedPageBreak/>
        <w:t xml:space="preserve">Authorization of 6 months may be granted </w:t>
      </w:r>
      <w:bookmarkStart w:id="2" w:name="OLE_LINK56"/>
      <w:r w:rsidRPr="00872114">
        <w:t xml:space="preserve">as a single agent </w:t>
      </w:r>
      <w:bookmarkEnd w:id="2"/>
      <w:r w:rsidRPr="00872114">
        <w:t>for treatment of recurrent or advanced microsatellite instability-high (MSI-H) or mismatch repair deficient (</w:t>
      </w:r>
      <w:proofErr w:type="spellStart"/>
      <w:r w:rsidRPr="00872114">
        <w:t>dMMR</w:t>
      </w:r>
      <w:proofErr w:type="spellEnd"/>
      <w:r w:rsidRPr="00872114">
        <w:t>) endometrial cancer that has progressed on or following prior treatment with a platinum-containing regimen.</w:t>
      </w:r>
    </w:p>
    <w:p w14:paraId="77F0AADC" w14:textId="00979D43" w:rsidR="00AA3266" w:rsidRPr="00872114" w:rsidRDefault="00AA3266" w:rsidP="005352B4">
      <w:pPr>
        <w:pStyle w:val="ListParagraph"/>
        <w:numPr>
          <w:ilvl w:val="0"/>
          <w:numId w:val="40"/>
        </w:numPr>
      </w:pPr>
      <w:bookmarkStart w:id="3" w:name="OLE_LINK57"/>
      <w:r w:rsidRPr="00872114">
        <w:t xml:space="preserve">Authorization of 6 months may be granted for treatment of endometrial carcinoma in combination with carboplatin and paclitaxel (for up to 6 doses of combination therapy followed by </w:t>
      </w:r>
      <w:proofErr w:type="spellStart"/>
      <w:r w:rsidRPr="00872114">
        <w:t>Jemperli</w:t>
      </w:r>
      <w:proofErr w:type="spellEnd"/>
      <w:r w:rsidRPr="00872114">
        <w:t xml:space="preserve"> monotherapy) in members with stage III-IV or recurrent disease.</w:t>
      </w:r>
    </w:p>
    <w:bookmarkEnd w:id="3"/>
    <w:p w14:paraId="7C823593" w14:textId="0DFFD03E" w:rsidR="00AA3266" w:rsidRPr="00872114" w:rsidRDefault="00AA3266" w:rsidP="005352B4">
      <w:pPr>
        <w:pStyle w:val="Heading3"/>
      </w:pPr>
      <w:r w:rsidRPr="00872114">
        <w:t xml:space="preserve">Solid </w:t>
      </w:r>
      <w:r w:rsidR="00AD7851" w:rsidRPr="00872114">
        <w:t>Tumors</w:t>
      </w:r>
      <w:r w:rsidR="00AD7851" w:rsidRPr="00872114">
        <w:rPr>
          <w:vertAlign w:val="superscript"/>
        </w:rPr>
        <w:t>1</w:t>
      </w:r>
    </w:p>
    <w:p w14:paraId="2A4E551F" w14:textId="77777777" w:rsidR="00AA3266" w:rsidRPr="00872114" w:rsidRDefault="00AA3266" w:rsidP="005352B4">
      <w:pPr>
        <w:pStyle w:val="BodyText"/>
      </w:pPr>
      <w:r w:rsidRPr="00872114">
        <w:t>Authorization of 6 months may be granted as a single agent for treatment of mismatch repair deficient (</w:t>
      </w:r>
      <w:proofErr w:type="spellStart"/>
      <w:r w:rsidRPr="00872114">
        <w:t>dMMR</w:t>
      </w:r>
      <w:proofErr w:type="spellEnd"/>
      <w:r w:rsidRPr="00872114">
        <w:t>) solid tumors in members with recurrent, or advanced disease that have progressed on or following prior treatment and for whom there are no satisfactory alternative treatment options.</w:t>
      </w:r>
    </w:p>
    <w:p w14:paraId="7B7FD10D" w14:textId="29E482FD" w:rsidR="00AA3266" w:rsidRPr="00872114" w:rsidRDefault="00AA3266" w:rsidP="005352B4">
      <w:pPr>
        <w:pStyle w:val="Heading3"/>
      </w:pPr>
      <w:r w:rsidRPr="00872114">
        <w:t xml:space="preserve">Breast </w:t>
      </w:r>
      <w:r w:rsidR="00AD7851" w:rsidRPr="00872114">
        <w:t>Cancer</w:t>
      </w:r>
      <w:r w:rsidR="00AD7851" w:rsidRPr="00872114">
        <w:rPr>
          <w:vertAlign w:val="superscript"/>
        </w:rPr>
        <w:t>2</w:t>
      </w:r>
    </w:p>
    <w:p w14:paraId="7183E445" w14:textId="71999A39" w:rsidR="00AA3266" w:rsidRPr="00872114" w:rsidRDefault="00AA3266" w:rsidP="005352B4">
      <w:pPr>
        <w:pStyle w:val="BodyText"/>
      </w:pPr>
      <w:r w:rsidRPr="00872114">
        <w:t xml:space="preserve">Authorization of 6 months may be granted as a single agent </w:t>
      </w:r>
      <w:bookmarkStart w:id="4" w:name="OLE_LINK36"/>
      <w:r w:rsidRPr="00872114">
        <w:t>in members with no response to preoperative systemic therapy</w:t>
      </w:r>
      <w:bookmarkEnd w:id="4"/>
      <w:r w:rsidRPr="00872114">
        <w:t>,</w:t>
      </w:r>
      <w:r w:rsidR="00A04DDA">
        <w:t xml:space="preserve"> </w:t>
      </w:r>
      <w:r w:rsidRPr="00872114">
        <w:t>recurrent unresectable or stage IV breast cancer, that is microsatellite instability-high (MSI-H) or mismatch repair deficient (</w:t>
      </w:r>
      <w:proofErr w:type="spellStart"/>
      <w:r w:rsidRPr="00872114">
        <w:t>dMMR</w:t>
      </w:r>
      <w:proofErr w:type="spellEnd"/>
      <w:r w:rsidRPr="00872114">
        <w:t>) and has progressed on or following prior treatment and has no satisfactory alternative treatment options.</w:t>
      </w:r>
    </w:p>
    <w:p w14:paraId="017B3490" w14:textId="3E81DAAF" w:rsidR="00AA3266" w:rsidRPr="00872114" w:rsidRDefault="00AA3266" w:rsidP="005352B4">
      <w:pPr>
        <w:pStyle w:val="Heading3"/>
      </w:pPr>
      <w:r w:rsidRPr="00872114">
        <w:t xml:space="preserve">Colorectal </w:t>
      </w:r>
      <w:r w:rsidR="00AD7851" w:rsidRPr="00872114">
        <w:t>Cancer</w:t>
      </w:r>
      <w:r w:rsidR="00AD7851" w:rsidRPr="00872114">
        <w:rPr>
          <w:vertAlign w:val="superscript"/>
        </w:rPr>
        <w:t>2,3</w:t>
      </w:r>
    </w:p>
    <w:p w14:paraId="6E9C38D3" w14:textId="16AF3CF3" w:rsidR="00AA3266" w:rsidRPr="00872114" w:rsidRDefault="00AA3266" w:rsidP="00A50849">
      <w:pPr>
        <w:pStyle w:val="BodyText"/>
      </w:pPr>
      <w:r w:rsidRPr="00872114">
        <w:t xml:space="preserve">Authorization of 6 months may be granted as a single agent for treatment of colorectal cancer, including appendiceal adenocarcinoma </w:t>
      </w:r>
      <w:bookmarkStart w:id="5" w:name="OLE_LINK55"/>
      <w:r w:rsidRPr="00872114">
        <w:t>and anal adenocarcinoma</w:t>
      </w:r>
      <w:bookmarkEnd w:id="5"/>
      <w:r w:rsidRPr="00872114">
        <w:t xml:space="preserve">, </w:t>
      </w:r>
      <w:r w:rsidR="00714E6D">
        <w:t>with</w:t>
      </w:r>
      <w:r w:rsidRPr="00872114">
        <w:t xml:space="preserve"> microsatellite instability-high (MSI-H)</w:t>
      </w:r>
      <w:r w:rsidR="00714E6D">
        <w:t>,</w:t>
      </w:r>
      <w:r w:rsidRPr="00872114">
        <w:t xml:space="preserve">  mismatch repair deficient (</w:t>
      </w:r>
      <w:proofErr w:type="spellStart"/>
      <w:r w:rsidRPr="00872114">
        <w:t>dMMR</w:t>
      </w:r>
      <w:proofErr w:type="spellEnd"/>
      <w:r w:rsidRPr="00872114">
        <w:t>)</w:t>
      </w:r>
      <w:r w:rsidR="00714E6D">
        <w:t xml:space="preserve">, </w:t>
      </w:r>
      <w:r w:rsidR="00714E6D" w:rsidRPr="00714E6D">
        <w:t>or polymerase epsilon/delta (POLE/POLD1) tumors</w:t>
      </w:r>
      <w:r w:rsidRPr="00872114">
        <w:t>.</w:t>
      </w:r>
    </w:p>
    <w:p w14:paraId="0C5914FE" w14:textId="5BC1F3CB" w:rsidR="00AA3266" w:rsidRPr="00872114" w:rsidRDefault="00AA3266" w:rsidP="00A50849">
      <w:pPr>
        <w:pStyle w:val="Heading3"/>
      </w:pPr>
      <w:r w:rsidRPr="00872114">
        <w:t>Esophageal</w:t>
      </w:r>
      <w:r w:rsidR="00AD7851" w:rsidRPr="00872114">
        <w:t>, Esophagogastric Junction And Gastric Cancer</w:t>
      </w:r>
      <w:r w:rsidR="00AD7851" w:rsidRPr="00872114">
        <w:rPr>
          <w:vertAlign w:val="superscript"/>
        </w:rPr>
        <w:t>2</w:t>
      </w:r>
    </w:p>
    <w:p w14:paraId="508715FC" w14:textId="77777777" w:rsidR="00AA3266" w:rsidRPr="00872114" w:rsidRDefault="00AA3266" w:rsidP="003751C2">
      <w:pPr>
        <w:pStyle w:val="BodyText"/>
      </w:pPr>
      <w:r w:rsidRPr="00872114">
        <w:t>Authorization of 6 months may be granted for treatment of esophageal cancer, esophagogastric junction cancer, or gastric adenocarcinoma when all of the following criteria are met:</w:t>
      </w:r>
    </w:p>
    <w:p w14:paraId="696349D9" w14:textId="3AB29175" w:rsidR="00AA3266" w:rsidRPr="003751C2" w:rsidRDefault="00AA3266" w:rsidP="003751C2">
      <w:pPr>
        <w:pStyle w:val="ListParagraph"/>
        <w:numPr>
          <w:ilvl w:val="0"/>
          <w:numId w:val="42"/>
        </w:numPr>
      </w:pPr>
      <w:r w:rsidRPr="003751C2">
        <w:t>The requested medication will be used as a single agent.</w:t>
      </w:r>
    </w:p>
    <w:p w14:paraId="2114F9DA" w14:textId="77777777" w:rsidR="00AA3266" w:rsidRPr="003751C2" w:rsidRDefault="00AA3266" w:rsidP="003751C2">
      <w:pPr>
        <w:pStyle w:val="ListParagraph"/>
        <w:numPr>
          <w:ilvl w:val="0"/>
          <w:numId w:val="42"/>
        </w:numPr>
      </w:pPr>
      <w:r w:rsidRPr="003751C2">
        <w:t>The requested medication will be used as palliative therapy for patients who are not surgical candidates or have unresectable locally advanced, recurrent, or metastatic disease.</w:t>
      </w:r>
    </w:p>
    <w:p w14:paraId="3CC1E8E0" w14:textId="6F82FFC1" w:rsidR="00AA3266" w:rsidRPr="003751C2" w:rsidRDefault="00AA3266" w:rsidP="003751C2">
      <w:pPr>
        <w:pStyle w:val="ListParagraph"/>
        <w:numPr>
          <w:ilvl w:val="0"/>
          <w:numId w:val="42"/>
        </w:numPr>
      </w:pPr>
      <w:r w:rsidRPr="003751C2">
        <w:t>The requested medication will be used for microsatellite instability-high (MSI-H) or deficient mismatch repair (</w:t>
      </w:r>
      <w:proofErr w:type="spellStart"/>
      <w:r w:rsidRPr="003751C2">
        <w:t>dMMR</w:t>
      </w:r>
      <w:proofErr w:type="spellEnd"/>
      <w:r w:rsidRPr="003751C2">
        <w:t>) tumors.</w:t>
      </w:r>
    </w:p>
    <w:p w14:paraId="5474C9FA" w14:textId="434DC83A" w:rsidR="00AA3266" w:rsidRDefault="00AA3266" w:rsidP="003751C2">
      <w:pPr>
        <w:pStyle w:val="BodyText"/>
      </w:pPr>
      <w:bookmarkStart w:id="6" w:name="OLE_LINK48"/>
      <w:r w:rsidRPr="00872114">
        <w:t xml:space="preserve">Authorization of 6 months may be granted for treatment of </w:t>
      </w:r>
      <w:bookmarkStart w:id="7" w:name="OLE_LINK42"/>
      <w:r w:rsidRPr="00872114">
        <w:t xml:space="preserve">gastric adenocarcinoma </w:t>
      </w:r>
      <w:bookmarkEnd w:id="7"/>
      <w:r w:rsidRPr="00872114">
        <w:t>if tumor is microsatellite instability-high (MSI-H) or mismatch repair deficient (</w:t>
      </w:r>
      <w:proofErr w:type="spellStart"/>
      <w:r w:rsidRPr="00872114">
        <w:t>dMMR</w:t>
      </w:r>
      <w:proofErr w:type="spellEnd"/>
      <w:r w:rsidRPr="00872114">
        <w:t xml:space="preserve">) in members who </w:t>
      </w:r>
      <w:r w:rsidR="00714E6D">
        <w:t xml:space="preserve">have early stage disease or </w:t>
      </w:r>
      <w:r w:rsidRPr="00872114">
        <w:t>are medically fit for surgery with surgically unresectable locoregional disease.</w:t>
      </w:r>
    </w:p>
    <w:p w14:paraId="0AB25442" w14:textId="616D6808" w:rsidR="00714E6D" w:rsidRPr="00872114" w:rsidRDefault="00714E6D" w:rsidP="003751C2">
      <w:pPr>
        <w:pStyle w:val="BodyText"/>
      </w:pPr>
      <w:r w:rsidRPr="00714E6D">
        <w:lastRenderedPageBreak/>
        <w:t>Authorization of 6 months may be granted as</w:t>
      </w:r>
      <w:r w:rsidR="00A04DDA">
        <w:t xml:space="preserve"> single agent</w:t>
      </w:r>
      <w:r w:rsidRPr="00714E6D">
        <w:t xml:space="preserve"> induction therapy for </w:t>
      </w:r>
      <w:r w:rsidR="00A04DDA">
        <w:t>relieving dysphagia</w:t>
      </w:r>
      <w:r w:rsidRPr="00714E6D">
        <w:t xml:space="preserve"> in members</w:t>
      </w:r>
      <w:r w:rsidR="00A04DDA">
        <w:t xml:space="preserve"> with </w:t>
      </w:r>
      <w:r w:rsidR="00A04DDA" w:rsidRPr="00714E6D">
        <w:t>esophageal cancer or esophagogastric junction cancer</w:t>
      </w:r>
      <w:r w:rsidRPr="00714E6D">
        <w:t xml:space="preserve"> who are surgical candidates with microsatellite instability-high (MSI-H) or mismatch repair deficient (</w:t>
      </w:r>
      <w:proofErr w:type="spellStart"/>
      <w:r w:rsidRPr="00714E6D">
        <w:t>dMMR</w:t>
      </w:r>
      <w:proofErr w:type="spellEnd"/>
      <w:r w:rsidRPr="00714E6D">
        <w:t>) tumors.</w:t>
      </w:r>
    </w:p>
    <w:bookmarkEnd w:id="6"/>
    <w:p w14:paraId="760A678B" w14:textId="5B6D8B5A" w:rsidR="00AA3266" w:rsidRPr="00872114" w:rsidRDefault="00AA3266" w:rsidP="00A50849">
      <w:pPr>
        <w:pStyle w:val="Heading3"/>
      </w:pPr>
      <w:r w:rsidRPr="00872114">
        <w:t xml:space="preserve">Occult </w:t>
      </w:r>
      <w:r w:rsidR="00AD7851" w:rsidRPr="00872114">
        <w:t>Primary Cancer</w:t>
      </w:r>
      <w:r w:rsidR="00AD7851" w:rsidRPr="00872114">
        <w:rPr>
          <w:vertAlign w:val="superscript"/>
        </w:rPr>
        <w:t>2</w:t>
      </w:r>
    </w:p>
    <w:p w14:paraId="083331C4" w14:textId="77777777" w:rsidR="00AA3266" w:rsidRPr="00872114" w:rsidRDefault="00AA3266" w:rsidP="00A50849">
      <w:pPr>
        <w:pStyle w:val="BodyText"/>
      </w:pPr>
      <w:r w:rsidRPr="00872114">
        <w:t>Authorization of 6 months may be granted as a single agent for treatment of occult primary cancer that is microsatellite instability-high (MSI-H) or mismatch repair deficient (</w:t>
      </w:r>
      <w:proofErr w:type="spellStart"/>
      <w:r w:rsidRPr="00872114">
        <w:t>dMMR</w:t>
      </w:r>
      <w:proofErr w:type="spellEnd"/>
      <w:r w:rsidRPr="00872114">
        <w:t>) and has progressed on or following prior treatment and has no satisfactory alternative treatment options.</w:t>
      </w:r>
    </w:p>
    <w:p w14:paraId="027FA7A1" w14:textId="1487F588" w:rsidR="00AA3266" w:rsidRPr="00872114" w:rsidRDefault="00AA3266" w:rsidP="00A50849">
      <w:pPr>
        <w:pStyle w:val="Heading3"/>
      </w:pPr>
      <w:r w:rsidRPr="00872114">
        <w:t xml:space="preserve">Ovarian </w:t>
      </w:r>
      <w:r w:rsidR="00AD7851" w:rsidRPr="00872114">
        <w:t>Cancer</w:t>
      </w:r>
      <w:r w:rsidR="00AD7851" w:rsidRPr="00872114">
        <w:rPr>
          <w:vertAlign w:val="superscript"/>
        </w:rPr>
        <w:t>2</w:t>
      </w:r>
    </w:p>
    <w:p w14:paraId="764E7645" w14:textId="3EE32338" w:rsidR="00AA3266" w:rsidRPr="00872114" w:rsidRDefault="00AA3266" w:rsidP="00A50849">
      <w:pPr>
        <w:pStyle w:val="BodyText"/>
      </w:pPr>
      <w:r w:rsidRPr="00872114">
        <w:t>Authorization of 6 months may be granted as a single agent for treatment of epithelial ovarian cancer, fallopian tube cancer, primary peritoneal cancer, carcinosarcoma (malignant mixed Mullerian tumors), clear cell carcinoma of the ovary, mucinous carcinoma of the ovary, grade 1 endometrioid carcinoma, and low-grade serous carcinoma/ovarian borderline epithelial tumors for recurrent, persistent, or advanced microsatellite instability-high (MSI-H) or mismatch repair deficient (</w:t>
      </w:r>
      <w:proofErr w:type="spellStart"/>
      <w:r w:rsidRPr="00872114">
        <w:t>dMMR</w:t>
      </w:r>
      <w:proofErr w:type="spellEnd"/>
      <w:r w:rsidRPr="00872114">
        <w:t>) tumors.</w:t>
      </w:r>
    </w:p>
    <w:p w14:paraId="4293B392" w14:textId="2ACAF9C1" w:rsidR="00AA3266" w:rsidRPr="00872114" w:rsidRDefault="00AA3266" w:rsidP="00A50849">
      <w:pPr>
        <w:pStyle w:val="Heading3"/>
      </w:pPr>
      <w:r w:rsidRPr="00872114">
        <w:t xml:space="preserve">Small </w:t>
      </w:r>
      <w:r w:rsidR="00AD7851" w:rsidRPr="00872114">
        <w:t>Bowel Adenocarcinoma</w:t>
      </w:r>
      <w:r w:rsidR="00AD7851" w:rsidRPr="00872114">
        <w:rPr>
          <w:vertAlign w:val="superscript"/>
        </w:rPr>
        <w:t>2</w:t>
      </w:r>
    </w:p>
    <w:p w14:paraId="375CAF12" w14:textId="47DC35DB" w:rsidR="00AA3266" w:rsidRPr="00872114" w:rsidRDefault="00AA3266" w:rsidP="00A50849">
      <w:pPr>
        <w:pStyle w:val="BodyText"/>
      </w:pPr>
      <w:bookmarkStart w:id="8" w:name="OLE_LINK22"/>
      <w:r w:rsidRPr="00872114">
        <w:t>Authorization of 6 months may be granted as a single agent for treatment of advanced or metastatic small bowel adenocarcinoma for microsatellite instability-high (MSI-H)</w:t>
      </w:r>
      <w:r w:rsidR="00DB28A6">
        <w:t>,</w:t>
      </w:r>
      <w:r w:rsidRPr="00872114">
        <w:t xml:space="preserve"> mismatch repair deficient (</w:t>
      </w:r>
      <w:proofErr w:type="spellStart"/>
      <w:r w:rsidRPr="00872114">
        <w:t>dMMR</w:t>
      </w:r>
      <w:proofErr w:type="spellEnd"/>
      <w:r w:rsidRPr="00872114">
        <w:t>)</w:t>
      </w:r>
      <w:r w:rsidR="00DB28A6">
        <w:t xml:space="preserve">, </w:t>
      </w:r>
      <w:r w:rsidR="00DB28A6" w:rsidRPr="00DB28A6">
        <w:t>or polymerase epsilon/delta (POLE/POLD1)</w:t>
      </w:r>
      <w:r w:rsidRPr="00872114">
        <w:t xml:space="preserve"> tumors.</w:t>
      </w:r>
      <w:bookmarkEnd w:id="8"/>
    </w:p>
    <w:p w14:paraId="35A110FA" w14:textId="660AFD1B" w:rsidR="00AA3266" w:rsidRPr="00872114" w:rsidRDefault="00AA3266" w:rsidP="00A50849">
      <w:pPr>
        <w:pStyle w:val="Heading3"/>
      </w:pPr>
      <w:r w:rsidRPr="00872114">
        <w:t xml:space="preserve">Ampullary </w:t>
      </w:r>
      <w:r w:rsidR="00AD7851" w:rsidRPr="00872114">
        <w:t>Adenocarcinoma</w:t>
      </w:r>
      <w:r w:rsidR="00AD7851" w:rsidRPr="00872114">
        <w:rPr>
          <w:vertAlign w:val="superscript"/>
        </w:rPr>
        <w:t>2</w:t>
      </w:r>
    </w:p>
    <w:p w14:paraId="7F152A3F" w14:textId="77777777" w:rsidR="00AA3266" w:rsidRPr="00872114" w:rsidRDefault="00AA3266" w:rsidP="00A50849">
      <w:pPr>
        <w:pStyle w:val="BodyText"/>
      </w:pPr>
      <w:r w:rsidRPr="00872114">
        <w:t xml:space="preserve">Authorization of 6 months may be granted as a single agent for subsequent treatment of </w:t>
      </w:r>
      <w:bookmarkStart w:id="9" w:name="OLE_LINK18"/>
      <w:r w:rsidRPr="00872114">
        <w:t>recurrent or advanced microsatellite instability-high (MSI-H) or mismatch repair deficient (</w:t>
      </w:r>
      <w:proofErr w:type="spellStart"/>
      <w:r w:rsidRPr="00872114">
        <w:t>dMMR</w:t>
      </w:r>
      <w:proofErr w:type="spellEnd"/>
      <w:r w:rsidRPr="00872114">
        <w:t xml:space="preserve">) </w:t>
      </w:r>
      <w:bookmarkEnd w:id="9"/>
      <w:r w:rsidRPr="00872114">
        <w:t>ampullary adenocarcinoma that has progressed on or following prior treatment and has no satisfactory alternative treatment options.</w:t>
      </w:r>
    </w:p>
    <w:p w14:paraId="04D3E8B9" w14:textId="4E9CD9E3" w:rsidR="00AA3266" w:rsidRPr="00872114" w:rsidRDefault="00AA3266" w:rsidP="00A50849">
      <w:pPr>
        <w:pStyle w:val="Heading3"/>
      </w:pPr>
      <w:r w:rsidRPr="00872114">
        <w:t>Pancreatic Adenocarcinoma</w:t>
      </w:r>
      <w:r w:rsidRPr="00872114">
        <w:rPr>
          <w:vertAlign w:val="superscript"/>
        </w:rPr>
        <w:t>2</w:t>
      </w:r>
    </w:p>
    <w:p w14:paraId="5093C098" w14:textId="77777777" w:rsidR="00AA3266" w:rsidRDefault="00AA3266" w:rsidP="00A50849">
      <w:pPr>
        <w:pStyle w:val="BodyText"/>
      </w:pPr>
      <w:bookmarkStart w:id="10" w:name="OLE_LINK47"/>
      <w:r w:rsidRPr="00872114">
        <w:t>Authorization of 6 months may be granted as a single agent for treatment of recurrent, locally advanced, metastatic, microsatellite instability-high (MSI-H) or mismatch repair deficient (</w:t>
      </w:r>
      <w:proofErr w:type="spellStart"/>
      <w:r w:rsidRPr="00872114">
        <w:t>dMMR</w:t>
      </w:r>
      <w:proofErr w:type="spellEnd"/>
      <w:r w:rsidRPr="00872114">
        <w:t>) pancreatic adenocarcinoma when member has ECOG 0-2.</w:t>
      </w:r>
    </w:p>
    <w:bookmarkEnd w:id="10"/>
    <w:p w14:paraId="5D7F61E4" w14:textId="167D7DEA" w:rsidR="00AA3266" w:rsidRPr="00872114" w:rsidRDefault="00AD7851" w:rsidP="00A50849">
      <w:pPr>
        <w:pStyle w:val="Heading2"/>
      </w:pPr>
      <w:r w:rsidRPr="00872114">
        <w:t xml:space="preserve">Continuation </w:t>
      </w:r>
      <w:r w:rsidR="00032A8C">
        <w:t>o</w:t>
      </w:r>
      <w:r w:rsidRPr="00872114">
        <w:t>f Therapy</w:t>
      </w:r>
    </w:p>
    <w:p w14:paraId="48AE718C" w14:textId="77777777" w:rsidR="002239F5" w:rsidRPr="00872114" w:rsidRDefault="00AA3266" w:rsidP="00A50849">
      <w:pPr>
        <w:pStyle w:val="BodyText"/>
      </w:pPr>
      <w:r w:rsidRPr="00872114">
        <w:t xml:space="preserve">Authorization of 6 months may be granted for continued treatment in members requesting reauthorization for an indication listed in the coverage criteria section when there is no evidence of unacceptable toxicity </w:t>
      </w:r>
      <w:r w:rsidRPr="00872114">
        <w:lastRenderedPageBreak/>
        <w:t>or disease progression while on the current regimen. Treatment as monotherapy after combination use with carboplatin and paclitaxel for endometrial carcinoma will not be approved beyond 36 months total therapy.</w:t>
      </w:r>
    </w:p>
    <w:p w14:paraId="24404D4B" w14:textId="6754454F" w:rsidR="00AA3266" w:rsidRPr="00872114" w:rsidRDefault="00AD7851" w:rsidP="00A50849">
      <w:pPr>
        <w:pStyle w:val="Heading2"/>
      </w:pPr>
      <w:r w:rsidRPr="00872114">
        <w:t>References</w:t>
      </w:r>
    </w:p>
    <w:p w14:paraId="6FCD3ADE" w14:textId="26F3D698" w:rsidR="00DA38D5" w:rsidRPr="003751C2" w:rsidRDefault="00DA38D5" w:rsidP="003751C2">
      <w:pPr>
        <w:pStyle w:val="ReferenceOrdered"/>
      </w:pPr>
      <w:proofErr w:type="spellStart"/>
      <w:r w:rsidRPr="003751C2">
        <w:t>Jemperli</w:t>
      </w:r>
      <w:proofErr w:type="spellEnd"/>
      <w:r w:rsidRPr="003751C2">
        <w:t xml:space="preserve"> [package insert]. Philadelphia, PA: GlaxoSmithKline; </w:t>
      </w:r>
      <w:r w:rsidR="00DB28A6">
        <w:t>August</w:t>
      </w:r>
      <w:r w:rsidR="00DB28A6" w:rsidRPr="003751C2">
        <w:t xml:space="preserve"> </w:t>
      </w:r>
      <w:r w:rsidRPr="003751C2">
        <w:t>202</w:t>
      </w:r>
      <w:r w:rsidR="00DB28A6">
        <w:t>4</w:t>
      </w:r>
      <w:r w:rsidRPr="003751C2">
        <w:t>.</w:t>
      </w:r>
    </w:p>
    <w:p w14:paraId="2F584744" w14:textId="053D6E5E" w:rsidR="00DA38D5" w:rsidRPr="003751C2" w:rsidRDefault="00DA38D5" w:rsidP="003751C2">
      <w:pPr>
        <w:pStyle w:val="ReferenceOrdered"/>
      </w:pPr>
      <w:r w:rsidRPr="003751C2">
        <w:t>The NCCN Drugs &amp; Biologics Compendium® © 202</w:t>
      </w:r>
      <w:r w:rsidR="00DB28A6">
        <w:t>4</w:t>
      </w:r>
      <w:r w:rsidRPr="003751C2">
        <w:t xml:space="preserve"> National Comprehensive Cancer Network, Inc. Available at: https://www.nccn.org. Accessed September </w:t>
      </w:r>
      <w:r w:rsidR="00DB28A6">
        <w:t>3</w:t>
      </w:r>
      <w:r w:rsidRPr="003751C2">
        <w:t>, 202</w:t>
      </w:r>
      <w:r w:rsidR="00DB28A6">
        <w:t>4</w:t>
      </w:r>
      <w:r w:rsidRPr="003751C2">
        <w:t>.</w:t>
      </w:r>
    </w:p>
    <w:p w14:paraId="26E25A0F" w14:textId="62959BDD" w:rsidR="00FF66BF" w:rsidRPr="003751C2" w:rsidRDefault="00DA38D5" w:rsidP="003751C2">
      <w:pPr>
        <w:pStyle w:val="ReferenceOrdered"/>
      </w:pPr>
      <w:r w:rsidRPr="003751C2">
        <w:t xml:space="preserve">National Comprehensive Cancer Network. NCCN Clinical Practice Guidelines in Oncology: Anal Carcinoma. Version </w:t>
      </w:r>
      <w:r w:rsidR="00DB28A6">
        <w:t>1</w:t>
      </w:r>
      <w:r w:rsidRPr="003751C2">
        <w:t>.202</w:t>
      </w:r>
      <w:r w:rsidR="00DB28A6">
        <w:t>4</w:t>
      </w:r>
      <w:r w:rsidRPr="003751C2">
        <w:t xml:space="preserve">. https://www.nccn.org/professionals/physician_gls/pdf/anal.pdf Accessed September </w:t>
      </w:r>
      <w:r w:rsidR="00DB28A6">
        <w:t>3</w:t>
      </w:r>
      <w:r w:rsidRPr="003751C2">
        <w:t>, 202</w:t>
      </w:r>
      <w:r w:rsidR="00DB28A6">
        <w:t>4</w:t>
      </w:r>
    </w:p>
    <w:sectPr w:rsidR="00FF66BF" w:rsidRPr="003751C2" w:rsidSect="005D7934">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EB0E8" w14:textId="77777777" w:rsidR="00C84E42" w:rsidRDefault="00C84E42">
      <w:r>
        <w:separator/>
      </w:r>
    </w:p>
  </w:endnote>
  <w:endnote w:type="continuationSeparator" w:id="0">
    <w:p w14:paraId="1C0707B5" w14:textId="77777777" w:rsidR="00C84E42" w:rsidRDefault="00C84E42">
      <w:r>
        <w:continuationSeparator/>
      </w:r>
    </w:p>
  </w:endnote>
  <w:endnote w:type="continuationNotice" w:id="1">
    <w:p w14:paraId="4DD9603C" w14:textId="77777777" w:rsidR="00C84E42" w:rsidRDefault="00C84E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CD96B8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5111D" w:rsidRPr="0045111D">
      <w:rPr>
        <w:rFonts w:cs="Arial"/>
        <w:noProof/>
        <w:sz w:val="16"/>
        <w:szCs w:val="16"/>
      </w:rPr>
      <w:t>Jemperli</w:t>
    </w:r>
    <w:r w:rsidR="0045111D">
      <w:rPr>
        <w:rFonts w:cs="Arial"/>
        <w:noProof/>
        <w:snapToGrid w:val="0"/>
        <w:color w:val="000000"/>
        <w:sz w:val="16"/>
        <w:szCs w:val="16"/>
      </w:rPr>
      <w:t xml:space="preserve"> SGM 4705-A</w:t>
    </w:r>
    <w:r w:rsidR="0045111D" w:rsidRPr="0045111D">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625A22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1A5991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C556B" w:rsidRPr="005C556B">
      <w:rPr>
        <w:rFonts w:cs="Arial"/>
        <w:noProof/>
        <w:sz w:val="16"/>
        <w:szCs w:val="16"/>
      </w:rPr>
      <w:t>Jemperli</w:t>
    </w:r>
    <w:r w:rsidR="005C556B">
      <w:rPr>
        <w:rFonts w:cs="Arial"/>
        <w:noProof/>
        <w:snapToGrid w:val="0"/>
        <w:color w:val="000000"/>
        <w:sz w:val="16"/>
        <w:szCs w:val="16"/>
      </w:rPr>
      <w:t xml:space="preserve"> SGM 4705-A</w:t>
    </w:r>
    <w:r w:rsidR="005C556B" w:rsidRPr="005C556B">
      <w:rPr>
        <w:rFonts w:cs="Arial"/>
        <w:noProof/>
        <w:sz w:val="16"/>
        <w:szCs w:val="16"/>
      </w:rPr>
      <w:t xml:space="preserve"> P2024.docx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53BFDF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7B9D7" w14:textId="77777777" w:rsidR="00C84E42" w:rsidRDefault="00C84E42">
      <w:r>
        <w:separator/>
      </w:r>
    </w:p>
  </w:footnote>
  <w:footnote w:type="continuationSeparator" w:id="0">
    <w:p w14:paraId="24E36CA8" w14:textId="77777777" w:rsidR="00C84E42" w:rsidRDefault="00C84E42">
      <w:r>
        <w:continuationSeparator/>
      </w:r>
    </w:p>
  </w:footnote>
  <w:footnote w:type="continuationNotice" w:id="1">
    <w:p w14:paraId="0C59ABC4" w14:textId="77777777" w:rsidR="00C84E42" w:rsidRDefault="00C84E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872114" w14:paraId="16262E63" w14:textId="77777777">
      <w:trPr>
        <w:trHeight w:val="144"/>
        <w:jc w:val="right"/>
      </w:trPr>
      <w:tc>
        <w:tcPr>
          <w:tcW w:w="1854" w:type="dxa"/>
          <w:hideMark/>
        </w:tcPr>
        <w:p w14:paraId="18F550B7" w14:textId="77777777" w:rsidR="00ED04EC" w:rsidRPr="00872114" w:rsidRDefault="00ED04EC" w:rsidP="00ED04EC">
          <w:pPr>
            <w:pStyle w:val="Header"/>
            <w:rPr>
              <w:rFonts w:cs="Arial"/>
              <w:sz w:val="16"/>
              <w:szCs w:val="16"/>
            </w:rPr>
          </w:pPr>
          <w:r w:rsidRPr="00872114">
            <w:rPr>
              <w:rFonts w:cs="Arial"/>
              <w:sz w:val="16"/>
              <w:szCs w:val="16"/>
            </w:rPr>
            <w:t>Reference number(s)</w:t>
          </w:r>
        </w:p>
      </w:tc>
    </w:tr>
    <w:tr w:rsidR="00ED04EC" w:rsidRPr="00872114" w14:paraId="703C6588" w14:textId="77777777">
      <w:trPr>
        <w:trHeight w:val="378"/>
        <w:jc w:val="right"/>
      </w:trPr>
      <w:tc>
        <w:tcPr>
          <w:tcW w:w="1854" w:type="dxa"/>
          <w:hideMark/>
        </w:tcPr>
        <w:p w14:paraId="51CE3E64" w14:textId="60699ECA" w:rsidR="00ED04EC" w:rsidRPr="00872114" w:rsidRDefault="002239F5" w:rsidP="00ED04EC">
          <w:pPr>
            <w:pStyle w:val="Header"/>
            <w:rPr>
              <w:rFonts w:cs="Arial"/>
              <w:sz w:val="16"/>
              <w:szCs w:val="16"/>
            </w:rPr>
          </w:pPr>
          <w:r w:rsidRPr="00872114">
            <w:rPr>
              <w:rFonts w:cs="Arial"/>
              <w:sz w:val="16"/>
              <w:szCs w:val="16"/>
            </w:rPr>
            <w:t>4705-A</w:t>
          </w:r>
        </w:p>
      </w:tc>
    </w:tr>
  </w:tbl>
  <w:p w14:paraId="0D5ACCC2" w14:textId="462A1075" w:rsidR="00ED04EC" w:rsidRPr="00872114"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440385E"/>
    <w:multiLevelType w:val="hybridMultilevel"/>
    <w:tmpl w:val="71F8B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8C5D43"/>
    <w:multiLevelType w:val="hybridMultilevel"/>
    <w:tmpl w:val="5802A1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2A57799"/>
    <w:multiLevelType w:val="hybridMultilevel"/>
    <w:tmpl w:val="8E665DC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0076707"/>
    <w:multiLevelType w:val="hybridMultilevel"/>
    <w:tmpl w:val="21B463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2DE558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4E0525B"/>
    <w:multiLevelType w:val="hybridMultilevel"/>
    <w:tmpl w:val="7470728E"/>
    <w:lvl w:ilvl="0" w:tplc="2F3A0F78">
      <w:start w:val="2"/>
      <w:numFmt w:val="decimal"/>
      <w:lvlText w:val="%1."/>
      <w:lvlJc w:val="left"/>
      <w:pPr>
        <w:ind w:left="144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501215"/>
    <w:multiLevelType w:val="hybridMultilevel"/>
    <w:tmpl w:val="3FD64B9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F937D6"/>
    <w:multiLevelType w:val="hybridMultilevel"/>
    <w:tmpl w:val="A2868392"/>
    <w:lvl w:ilvl="0" w:tplc="04090019">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2E625F3"/>
    <w:multiLevelType w:val="hybridMultilevel"/>
    <w:tmpl w:val="A140876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EB53F4E"/>
    <w:multiLevelType w:val="hybridMultilevel"/>
    <w:tmpl w:val="8E665D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64921869">
    <w:abstractNumId w:val="14"/>
  </w:num>
  <w:num w:numId="2" w16cid:durableId="606935877">
    <w:abstractNumId w:val="30"/>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3"/>
  </w:num>
  <w:num w:numId="17" w16cid:durableId="2128498676">
    <w:abstractNumId w:val="36"/>
  </w:num>
  <w:num w:numId="18" w16cid:durableId="299724409">
    <w:abstractNumId w:val="27"/>
  </w:num>
  <w:num w:numId="19" w16cid:durableId="214585573">
    <w:abstractNumId w:val="17"/>
  </w:num>
  <w:num w:numId="20" w16cid:durableId="1289816170">
    <w:abstractNumId w:val="18"/>
  </w:num>
  <w:num w:numId="21" w16cid:durableId="1066490929">
    <w:abstractNumId w:val="37"/>
  </w:num>
  <w:num w:numId="22" w16cid:durableId="1472481103">
    <w:abstractNumId w:val="29"/>
  </w:num>
  <w:num w:numId="23" w16cid:durableId="1997420403">
    <w:abstractNumId w:val="32"/>
  </w:num>
  <w:num w:numId="24" w16cid:durableId="33312838">
    <w:abstractNumId w:val="28"/>
  </w:num>
  <w:num w:numId="25" w16cid:durableId="507404939">
    <w:abstractNumId w:val="22"/>
  </w:num>
  <w:num w:numId="26" w16cid:durableId="1950313333">
    <w:abstractNumId w:val="25"/>
  </w:num>
  <w:num w:numId="27" w16cid:durableId="1866016584">
    <w:abstractNumId w:val="24"/>
  </w:num>
  <w:num w:numId="28" w16cid:durableId="906572609">
    <w:abstractNumId w:val="33"/>
  </w:num>
  <w:num w:numId="29" w16cid:durableId="1822385518">
    <w:abstractNumId w:val="10"/>
  </w:num>
  <w:num w:numId="30" w16cid:durableId="1535574897">
    <w:abstractNumId w:val="35"/>
  </w:num>
  <w:num w:numId="31" w16cid:durableId="1915049775">
    <w:abstractNumId w:val="38"/>
  </w:num>
  <w:num w:numId="32" w16cid:durableId="1667710710">
    <w:abstractNumId w:val="31"/>
  </w:num>
  <w:num w:numId="33" w16cid:durableId="480313776">
    <w:abstractNumId w:val="16"/>
  </w:num>
  <w:num w:numId="34" w16cid:durableId="1962832733">
    <w:abstractNumId w:val="13"/>
  </w:num>
  <w:num w:numId="35" w16cid:durableId="599604875">
    <w:abstractNumId w:val="19"/>
  </w:num>
  <w:num w:numId="36" w16cid:durableId="110068187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4780899">
    <w:abstractNumId w:val="34"/>
  </w:num>
  <w:num w:numId="38" w16cid:durableId="96778648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67402169">
    <w:abstractNumId w:val="20"/>
  </w:num>
  <w:num w:numId="40" w16cid:durableId="18961192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61758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29590711">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2A8C"/>
    <w:rsid w:val="0003572F"/>
    <w:rsid w:val="00036079"/>
    <w:rsid w:val="00037636"/>
    <w:rsid w:val="00037A95"/>
    <w:rsid w:val="00041200"/>
    <w:rsid w:val="0004226E"/>
    <w:rsid w:val="000425B0"/>
    <w:rsid w:val="00042C96"/>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4CCD"/>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3377"/>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5A9"/>
    <w:rsid w:val="00121BD0"/>
    <w:rsid w:val="00121F7F"/>
    <w:rsid w:val="00122472"/>
    <w:rsid w:val="001244EB"/>
    <w:rsid w:val="0012494A"/>
    <w:rsid w:val="00125550"/>
    <w:rsid w:val="00127150"/>
    <w:rsid w:val="00127185"/>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CC8"/>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3884"/>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9F5"/>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2CB"/>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232"/>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385F"/>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1C2"/>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97C"/>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4396"/>
    <w:rsid w:val="004357BB"/>
    <w:rsid w:val="00435A60"/>
    <w:rsid w:val="00437BFC"/>
    <w:rsid w:val="00437D53"/>
    <w:rsid w:val="0044040B"/>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11D"/>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4B5"/>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EDC"/>
    <w:rsid w:val="004C6FCE"/>
    <w:rsid w:val="004C790C"/>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2C1"/>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793"/>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2B4"/>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2648"/>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556B"/>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34"/>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C38"/>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3D93"/>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B80"/>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4E6D"/>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114"/>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1C5F"/>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5846"/>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4DDA"/>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4EB5"/>
    <w:rsid w:val="00A45E92"/>
    <w:rsid w:val="00A46FB9"/>
    <w:rsid w:val="00A47199"/>
    <w:rsid w:val="00A501AC"/>
    <w:rsid w:val="00A503F6"/>
    <w:rsid w:val="00A50452"/>
    <w:rsid w:val="00A50849"/>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65C"/>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3B96"/>
    <w:rsid w:val="00A94105"/>
    <w:rsid w:val="00A946C6"/>
    <w:rsid w:val="00A94A0D"/>
    <w:rsid w:val="00A9526B"/>
    <w:rsid w:val="00A96221"/>
    <w:rsid w:val="00A96256"/>
    <w:rsid w:val="00A96A09"/>
    <w:rsid w:val="00AA0497"/>
    <w:rsid w:val="00AA0955"/>
    <w:rsid w:val="00AA1E6A"/>
    <w:rsid w:val="00AA2744"/>
    <w:rsid w:val="00AA2A94"/>
    <w:rsid w:val="00AA3266"/>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D7851"/>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11"/>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28D"/>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4E42"/>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342A"/>
    <w:rsid w:val="00D94985"/>
    <w:rsid w:val="00D956AE"/>
    <w:rsid w:val="00D95A0D"/>
    <w:rsid w:val="00D95E62"/>
    <w:rsid w:val="00D97119"/>
    <w:rsid w:val="00D974E4"/>
    <w:rsid w:val="00D97A46"/>
    <w:rsid w:val="00D97B49"/>
    <w:rsid w:val="00DA05D5"/>
    <w:rsid w:val="00DA0924"/>
    <w:rsid w:val="00DA29A1"/>
    <w:rsid w:val="00DA2BE1"/>
    <w:rsid w:val="00DA38D5"/>
    <w:rsid w:val="00DA3D4A"/>
    <w:rsid w:val="00DA420D"/>
    <w:rsid w:val="00DA52B5"/>
    <w:rsid w:val="00DA5F0A"/>
    <w:rsid w:val="00DA640C"/>
    <w:rsid w:val="00DA6BAC"/>
    <w:rsid w:val="00DA7269"/>
    <w:rsid w:val="00DB0090"/>
    <w:rsid w:val="00DB11BA"/>
    <w:rsid w:val="00DB1811"/>
    <w:rsid w:val="00DB1B3D"/>
    <w:rsid w:val="00DB2117"/>
    <w:rsid w:val="00DB259D"/>
    <w:rsid w:val="00DB28A6"/>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4F31"/>
    <w:rsid w:val="00DC500B"/>
    <w:rsid w:val="00DC54A4"/>
    <w:rsid w:val="00DC5CBB"/>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D1A"/>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27D4E"/>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137"/>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6C6E"/>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0EC"/>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7F6"/>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aliases w:val="aria"/>
    <w:basedOn w:val="Normal"/>
    <w:link w:val="CommentTextChar"/>
    <w:rsid w:val="00151DA8"/>
  </w:style>
  <w:style w:type="character" w:customStyle="1" w:styleId="CommentTextChar">
    <w:name w:val="Comment Text Char"/>
    <w:aliases w:val="aria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8D2494-43A0-4042-BD3F-B0CFD4FF59BA}"/>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1070</Words>
  <Characters>6853</Characters>
  <Application>Microsoft Office Word</Application>
  <DocSecurity>0</DocSecurity>
  <Lines>163</Lines>
  <Paragraphs>138</Paragraphs>
  <ScaleCrop>false</ScaleCrop>
  <HeadingPairs>
    <vt:vector size="2" baseType="variant">
      <vt:variant>
        <vt:lpstr>Title</vt:lpstr>
      </vt:variant>
      <vt:variant>
        <vt:i4>1</vt:i4>
      </vt:variant>
    </vt:vector>
  </HeadingPairs>
  <TitlesOfParts>
    <vt:vector size="1" baseType="lpstr">
      <vt:lpstr>Jemperli SGM 4705-A 2023</vt:lpstr>
    </vt:vector>
  </TitlesOfParts>
  <Company>PCS Health Systems</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Jemperli SGM 4705-A 2023</dc:title>
  <dc:subject/>
  <dc:creator>CVS Caremark</dc:creator>
  <cp:keywords/>
  <cp:lastModifiedBy>Huerta, Linda M</cp:lastModifiedBy>
  <cp:revision>9</cp:revision>
  <cp:lastPrinted>2018-01-09T11:01:00Z</cp:lastPrinted>
  <dcterms:created xsi:type="dcterms:W3CDTF">2025-01-13T18:22:00Z</dcterms:created>
  <dcterms:modified xsi:type="dcterms:W3CDTF">2025-01-16T20:39:00Z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1763500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